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TECNOLOGIA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875"/>
        <w:gridCol w:w="4890"/>
        <w:tblGridChange w:id="0">
          <w:tblGrid>
            <w:gridCol w:w="2865"/>
            <w:gridCol w:w="1875"/>
            <w:gridCol w:w="489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Osservare oggetti d’uso comune; descriverne la funzione principale, la struttura e spiegarne il funzionamento.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difficili, in modo originale e personale.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consapevolezza, riuscendo ad affrontare anche situazioni complesse.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anche difficili.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autonomia e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 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con continuità.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in modo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con parziale autonomia e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non particolarmente complessi.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osserva, rappresenta e descrive oggetti e materiali d’uso comune principalmente sotto la guida e con il supporto del docente.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istruzioni, solo se già affrontati in precedenza.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non riesce abitualmente a rappresentare e descrivere oggetti e materiali d’uso comune, anche se guidato dal docente.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 solo saltuariamente conoscenze e abilità per eseguire semplici istruzioni.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5">
      <w:pPr>
        <w:tabs>
          <w:tab w:val="left" w:leader="none" w:pos="9700"/>
        </w:tabs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I5wdTr+oFUY/nirhYMpJjlnwg==">CgMxLjA4AHIhMVhUSHFWMTRtTUFDeklUUTloeDdYdkJjeWwyM3U0ZU93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