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2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</w:t>
      </w:r>
      <w:r w:rsidDel="00000000" w:rsidR="00000000" w:rsidRPr="00000000">
        <w:rPr>
          <w:sz w:val="28"/>
          <w:szCs w:val="28"/>
          <w:rtl w:val="0"/>
        </w:rPr>
        <w:t xml:space="preserve">MATEMATICA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65"/>
        <w:gridCol w:w="1530"/>
        <w:gridCol w:w="5535"/>
        <w:tblGridChange w:id="0">
          <w:tblGrid>
            <w:gridCol w:w="2565"/>
            <w:gridCol w:w="1530"/>
            <w:gridCol w:w="553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94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Conoscere entità numeriche (sopra il 1000000). Applicare gli algoritmi di calcolo scritto e orale.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ind w:left="72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Conoscere e operare con le figure geometriche.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Effettuare misurazioni e stabilire relazioni tra unità di misura arbitrarie e convenzionali. Operare con i grafici in diverse situazioni.</w:t>
            </w:r>
          </w:p>
          <w:p w:rsidR="00000000" w:rsidDel="00000000" w:rsidP="00000000" w:rsidRDefault="00000000" w:rsidRPr="00000000" w14:paraId="00000016">
            <w:pPr>
              <w:widowControl w:val="1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Risolvere situazioni problematiche anche in contesti complessi. Educare al pensiero logico.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autonomia e consapevolezza, riuscendo ad affrontare anche situazioni complesse e non proposte in precedenza.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problemi, anche difficili, in modo originale e personale.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autonomia, riuscendo ad affrontare anche situazioni complesse.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problemi, anche difficili.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autonomia.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parziale autonomia.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le figure geometriche e risolvere problemi non particolarmente complessi.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in contesti semplici.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principalmente con il supporto del docente.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alcune conoscenze e abilità per operare con le figure geometriche e risolvere semplici problemi, solo se già affrontati in precedenza.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il linguaggio matematico con qualche incertezza e con un lessico limitato.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non riesce abitualmente a portare a termine attività di calcolo, classificazioni, misurazioni, lettura e costruzioni di grafici anche se guidato dal docente.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Applica solo saltuariamente conoscenze e abilità per operare con le figure geometriche e risolvere semplici problemi.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il linguaggio matematico con incertezza e con un lessico non adeguato al contesto.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Docenti di Dipartimento</w:t>
      </w:r>
    </w:p>
    <w:p w:rsidR="00000000" w:rsidDel="00000000" w:rsidP="00000000" w:rsidRDefault="00000000" w:rsidRPr="00000000" w14:paraId="00000039">
      <w:pPr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F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40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41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42">
      <w:pPr>
        <w:tabs>
          <w:tab w:val="left" w:leader="none" w:pos="9700"/>
        </w:tabs>
        <w:spacing w:line="360" w:lineRule="auto"/>
        <w:ind w:left="112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000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rect b="b" l="l" r="r" t="t"/>
                          <a:pathLst>
                            <a:path extrusionOk="0" h="120000"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o4CRAeJWea94q/QtpfF/gW7lRA==">CgMxLjA4AHIhMWU2R2J4NmJNOHNmeTVoT2hDTXN6N1pHcG9sbnJ2UERn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