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635"/>
        <w:gridCol w:w="5190"/>
        <w:tblGridChange w:id="0">
          <w:tblGrid>
            <w:gridCol w:w="2805"/>
            <w:gridCol w:w="1635"/>
            <w:gridCol w:w="519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TERZA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Riconoscere  le caratteristiche di organismi animali e vegetali. 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Esplorare fenomeni quotidiani, osservare, descrivere fatti, formulare domande, anche sulla base di ipotesi personali, realizzare semplici esperimenti.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pertinenti e complesse ed elabora ipotesi personali ben strutturate.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critica e di argomentazione utilizzando un linguaggio scientifico appropriato.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corrette ed elabora ipotesi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personali con ragionamenti pertinenti.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di argomentazione utilizzando un linguaggio scientifico appropriato.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autonomia e consapevolezza.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adeguate ed elabora ipotesi personali.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efficace, collegando le principali informazioni e usando un linguaggio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parziale autonomia e consapevolezza.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poche domande, spesso generiche e propone ipotesi semplici.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giusto, con un lessico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sotto la guida e con il supporto del docente.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Fatica a formulare domande; mostra difficoltà nel proporre ipotesi.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e ipotesi poco pertinenti.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3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5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47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xMCjvxiCkKWT+akXn2ewUfHyw==">CgMxLjA4AHIhMVBpUkN4a2VCMkhnd1YwcjBmNWxBdTJPMHhkVlNBTXgx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2025-03-26T08:44:00Z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