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7BCD75F4" w14:textId="5D8D9677" w:rsidR="003115DB" w:rsidRPr="00C16693" w:rsidRDefault="00E42236" w:rsidP="00C16693">
            <w:pPr>
              <w:pStyle w:val="Paragrafoelenco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15FBB">
              <w:rPr>
                <w:rFonts w:ascii="Times New Roman" w:hAnsi="Times New Roman"/>
                <w:b/>
                <w:bCs/>
              </w:rPr>
              <w:t xml:space="preserve">PROGETTO </w:t>
            </w:r>
            <w:r w:rsidR="00C16693">
              <w:rPr>
                <w:rFonts w:ascii="Times New Roman" w:hAnsi="Times New Roman"/>
                <w:b/>
                <w:bCs/>
              </w:rPr>
              <w:t>“</w:t>
            </w:r>
            <w:r w:rsidR="0008029C">
              <w:rPr>
                <w:rFonts w:ascii="Times New Roman" w:hAnsi="Times New Roman"/>
                <w:b/>
                <w:bCs/>
              </w:rPr>
              <w:t>CAMPIONATI</w:t>
            </w:r>
            <w:r w:rsidR="005715BD">
              <w:rPr>
                <w:rFonts w:ascii="Times New Roman" w:hAnsi="Times New Roman"/>
                <w:b/>
                <w:bCs/>
              </w:rPr>
              <w:t xml:space="preserve"> ITALIAN</w:t>
            </w:r>
            <w:r w:rsidR="0008029C">
              <w:rPr>
                <w:rFonts w:ascii="Times New Roman" w:hAnsi="Times New Roman"/>
                <w:b/>
                <w:bCs/>
              </w:rPr>
              <w:t>I</w:t>
            </w:r>
            <w:r w:rsidR="005715BD">
              <w:rPr>
                <w:rFonts w:ascii="Times New Roman" w:hAnsi="Times New Roman"/>
                <w:b/>
                <w:bCs/>
              </w:rPr>
              <w:t xml:space="preserve"> DI INFORMATICA</w:t>
            </w:r>
            <w:r w:rsidR="00C16693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142500E8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08029C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le culture, il sostegno dell'assunzione di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1B6E4CCD" w:rsidR="00987759" w:rsidRPr="00987759" w:rsidRDefault="00E4223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50C22100" w:rsidR="00987759" w:rsidRDefault="00C4390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7D8CB4CF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E42236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associazioni di settore e l'applicazione delle linee di indirizzo per favorire il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520A1BE0" w:rsidR="00987759" w:rsidRDefault="00C43902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A894EDB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08029C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5D4B24C0" w14:textId="7180E922" w:rsidR="00EB2E40" w:rsidRDefault="0008029C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</w:pPr>
            <w:r w:rsidRPr="0008029C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I Campionati Italiani di Informatica (ex Olimpiadi</w:t>
            </w:r>
            <w:r w:rsidR="00332348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- OII</w:t>
            </w:r>
            <w:r w:rsidRPr="0008029C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) sono una competizione rivolta agli studenti delle istituzioni scolastiche secondarie di II grado. Giunt</w:t>
            </w:r>
            <w:r w:rsidR="00332348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i</w:t>
            </w:r>
            <w:r w:rsidRPr="0008029C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ormai alla XXVI edizione, fanno parte del programma di valorizzazione delle eccellenze che la Direzione Generale per gli ordinamenti scolastici e la valutazione del sistema nazionale di istruzione del Ministero dell’Istruzione promuove e finanzia ogni anno. </w:t>
            </w:r>
          </w:p>
          <w:p w14:paraId="15799A01" w14:textId="34ACF596" w:rsidR="00B71FE7" w:rsidRPr="00F72E34" w:rsidRDefault="0008029C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08029C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Inoltre, in virtù del Protocollo di intesa tra Ministero dell’Istruzione e l’Associazione Italiana per l’Informatica e il Calcolo Automatico (AICA) del 31 luglio 2023, la competizione viene promossa con il supporto tecnico e logistico di AICA</w:t>
            </w:r>
            <w:r w:rsid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</w:t>
            </w:r>
            <w:r w:rsidRPr="0008029C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e si avvale del supporto amministrativo contabile dell’ITE E. Tosi di Busto Arsizio (VA).</w:t>
            </w: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532576DF" w14:textId="77777777" w:rsidR="0008029C" w:rsidRPr="0008029C" w:rsidRDefault="0008029C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</w:pPr>
            <w:r w:rsidRPr="0008029C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>Risultati attesi:</w:t>
            </w:r>
          </w:p>
          <w:p w14:paraId="0FC66E54" w14:textId="77777777" w:rsidR="00332348" w:rsidRDefault="0008029C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</w:pP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Le </w:t>
            </w:r>
            <w:r w:rsidR="00332348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attività previste 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sono rivolte agli studenti delle scuole </w:t>
            </w:r>
            <w:r w:rsidR="00332348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secondarie di II grado,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con l'obiettivo di </w:t>
            </w:r>
            <w:r w:rsidRPr="00EB2E40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>diffondere l'apprendimento della programmazione per la risoluzione di problemi computazionali di crescente complessità.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</w:t>
            </w:r>
          </w:p>
          <w:p w14:paraId="35274AEF" w14:textId="4F69253D" w:rsidR="0008029C" w:rsidRPr="00EB2E40" w:rsidRDefault="00332348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I Campionati</w:t>
            </w:r>
            <w:r w:rsidR="0008029C"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rappresentano un'opportunità stimolante per </w:t>
            </w:r>
            <w:r w:rsidR="0008029C" w:rsidRPr="00EB2E40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>socializzare e competere nelle gare di programmazione</w:t>
            </w:r>
            <w:r w:rsidR="0008029C"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, attraverso un percorso di selezione che comprende le fasi scolastica, territoriale e nazionale. </w:t>
            </w:r>
          </w:p>
          <w:p w14:paraId="3F727583" w14:textId="291AFADC" w:rsidR="0008029C" w:rsidRPr="00EB2E40" w:rsidRDefault="0008029C" w:rsidP="0008029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</w:pP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Questo percorso mira a </w:t>
            </w:r>
            <w:r w:rsidRPr="00EB2E40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>determinare le squadre nazionali che rappresenteranno l'Italia alle varie Olimpiadi Internazionali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a cui il nostro </w:t>
            </w:r>
            <w:r w:rsidR="00332348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>P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aese 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lastRenderedPageBreak/>
              <w:t xml:space="preserve">partecipa. L'attenzione nelle OII è posta sul carattere algoritmico dei problemi, </w:t>
            </w:r>
            <w:r w:rsidRPr="00EB2E40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>favorendo la partecipazione</w:t>
            </w:r>
            <w:r w:rsidRPr="00EB2E40">
              <w:rPr>
                <w:rFonts w:ascii="Times New Roman" w:eastAsia="Times New Roman" w:hAnsi="Times New Roman"/>
                <w:bCs/>
                <w:color w:val="auto"/>
                <w:lang w:val="en-US" w:eastAsia="en-US" w:bidi="en-US"/>
              </w:rPr>
              <w:t xml:space="preserve"> </w:t>
            </w:r>
            <w:r w:rsidRPr="00EB2E40">
              <w:rPr>
                <w:rFonts w:ascii="Times New Roman" w:eastAsia="Times New Roman" w:hAnsi="Times New Roman"/>
                <w:b/>
                <w:color w:val="auto"/>
                <w:lang w:val="en-US" w:eastAsia="en-US" w:bidi="en-US"/>
              </w:rPr>
              <w:t xml:space="preserve">anche di coloro che non hanno conoscenze specialistiche pregresse. </w:t>
            </w:r>
          </w:p>
          <w:p w14:paraId="5CD5FA1F" w14:textId="2512EF65" w:rsidR="00B71FE7" w:rsidRPr="0008029C" w:rsidRDefault="0008029C" w:rsidP="0008029C">
            <w:pPr>
              <w:spacing w:line="240" w:lineRule="atLeast"/>
              <w:jc w:val="both"/>
              <w:rPr>
                <w:bCs/>
              </w:rPr>
            </w:pPr>
            <w:r w:rsidRPr="00EB2E40">
              <w:rPr>
                <w:bCs/>
                <w:sz w:val="22"/>
              </w:rPr>
              <w:t xml:space="preserve">Questo richiede principalmente la capacità di </w:t>
            </w:r>
            <w:r w:rsidRPr="00EB2E40">
              <w:rPr>
                <w:b/>
                <w:sz w:val="22"/>
              </w:rPr>
              <w:t>ragionare e tradurre tale ragionamento in codice efficiente per il computer.</w:t>
            </w: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8CFD202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5A4E5535" w14:textId="793F6C6C" w:rsidR="00D512D9" w:rsidRPr="00E42236" w:rsidRDefault="00E42236" w:rsidP="00332348">
            <w:pPr>
              <w:ind w:left="360"/>
              <w:jc w:val="both"/>
              <w:rPr>
                <w:sz w:val="22"/>
              </w:rPr>
            </w:pPr>
            <w:r w:rsidRPr="00E42236">
              <w:rPr>
                <w:b/>
                <w:bCs/>
              </w:rPr>
              <w:t>X</w:t>
            </w:r>
            <w:r>
              <w:t xml:space="preserve"> </w:t>
            </w:r>
            <w:r w:rsidR="00332348">
              <w:t xml:space="preserve">  </w:t>
            </w:r>
            <w:r w:rsidR="0008029C" w:rsidRPr="00EB2E40">
              <w:rPr>
                <w:sz w:val="22"/>
              </w:rPr>
              <w:t>G</w:t>
            </w:r>
            <w:r w:rsidRPr="00EB2E40">
              <w:rPr>
                <w:sz w:val="22"/>
              </w:rPr>
              <w:t xml:space="preserve">li studenti, frequentanti le classi </w:t>
            </w:r>
            <w:r w:rsidR="0008029C" w:rsidRPr="00EB2E40">
              <w:rPr>
                <w:sz w:val="22"/>
              </w:rPr>
              <w:t>3°</w:t>
            </w:r>
            <w:r w:rsidRPr="00EB2E40">
              <w:rPr>
                <w:sz w:val="22"/>
              </w:rPr>
              <w:t>-</w:t>
            </w:r>
            <w:r w:rsidR="0008029C" w:rsidRPr="00EB2E40">
              <w:rPr>
                <w:sz w:val="22"/>
              </w:rPr>
              <w:t>4°</w:t>
            </w:r>
            <w:r w:rsidRPr="00EB2E40">
              <w:rPr>
                <w:sz w:val="22"/>
              </w:rPr>
              <w:t xml:space="preserve">, di </w:t>
            </w:r>
            <w:r w:rsidR="0008029C" w:rsidRPr="00EB2E40">
              <w:rPr>
                <w:sz w:val="22"/>
              </w:rPr>
              <w:t>Liceo Scientifico opzione Scienze Applicate</w:t>
            </w:r>
            <w:r w:rsidRPr="00EB2E40">
              <w:rPr>
                <w:sz w:val="22"/>
              </w:rPr>
              <w:t xml:space="preserve"> dell’Istituto</w:t>
            </w:r>
            <w:r w:rsidRPr="00E42236">
              <w:t xml:space="preserve"> </w:t>
            </w: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65D7541" w:rsidR="00B21CC6" w:rsidRPr="00EB2E40" w:rsidRDefault="0008029C" w:rsidP="0008029C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sz w:val="22"/>
              </w:rPr>
            </w:pPr>
            <w:r>
              <w:rPr>
                <w:rFonts w:eastAsia="Calibri"/>
              </w:rPr>
              <w:t xml:space="preserve">       X </w:t>
            </w:r>
            <w:r w:rsidR="00EB2E40">
              <w:rPr>
                <w:rFonts w:eastAsia="Calibri"/>
              </w:rPr>
              <w:t xml:space="preserve">   </w:t>
            </w:r>
            <w:r w:rsidR="00B21CC6" w:rsidRPr="00EB2E40">
              <w:rPr>
                <w:rFonts w:eastAsia="Calibri"/>
                <w:sz w:val="22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1DF99218" w:rsidR="00B21CC6" w:rsidRPr="00E42236" w:rsidRDefault="0008029C" w:rsidP="0008029C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t xml:space="preserve">X    </w:t>
            </w:r>
            <w:r w:rsidR="00B21CC6" w:rsidRPr="00E42236"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7F92907D" w14:textId="2D33A6E6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Informatizzata</w:t>
            </w:r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Risorsa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lastRenderedPageBreak/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48964D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5E166F9F" w:rsidR="004742D1" w:rsidRPr="004B5BC9" w:rsidRDefault="00E42236" w:rsidP="004B5BC9">
            <w:pPr>
              <w:spacing w:line="240" w:lineRule="atLeast"/>
              <w:jc w:val="both"/>
              <w:rPr>
                <w:bCs/>
              </w:rPr>
            </w:pPr>
            <w:r w:rsidRPr="004B5BC9">
              <w:rPr>
                <w:b/>
              </w:rPr>
              <w:t xml:space="preserve">X </w:t>
            </w:r>
            <w:r w:rsidRPr="004B5BC9">
              <w:rPr>
                <w:bCs/>
              </w:rPr>
              <w:t xml:space="preserve"> </w:t>
            </w:r>
            <w:r w:rsidR="004742D1" w:rsidRPr="004B5BC9">
              <w:rPr>
                <w:bCs/>
              </w:rPr>
              <w:t>interno</w:t>
            </w:r>
          </w:p>
          <w:p w14:paraId="53C81571" w14:textId="24F6EDD4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esterno</w:t>
            </w:r>
          </w:p>
          <w:p w14:paraId="0CAE9178" w14:textId="31D62145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6402B651" w14:textId="77777777" w:rsidR="00332348" w:rsidRDefault="004742D1" w:rsidP="00332348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056E388C" w14:textId="1E454F5F" w:rsidR="00E42236" w:rsidRPr="00F72E34" w:rsidRDefault="00332348" w:rsidP="00332348">
            <w:pPr>
              <w:pStyle w:val="Paragrafoelenco"/>
              <w:spacing w:line="240" w:lineRule="atLeast"/>
              <w:ind w:left="0"/>
              <w:jc w:val="both"/>
              <w:rPr>
                <w:b/>
              </w:rPr>
            </w:pPr>
            <w:r w:rsidRPr="00332348">
              <w:rPr>
                <w:rFonts w:ascii="Times New Roman" w:hAnsi="Times New Roman"/>
                <w:bCs/>
                <w:lang w:bidi="en-US"/>
              </w:rPr>
              <w:t xml:space="preserve">L’evento </w:t>
            </w:r>
            <w:r>
              <w:rPr>
                <w:rFonts w:ascii="Times New Roman" w:hAnsi="Times New Roman"/>
                <w:bCs/>
                <w:lang w:bidi="en-US"/>
              </w:rPr>
              <w:t xml:space="preserve">articolato in più fasi (realizzate da dicembre 2025 a settembre 2026) </w:t>
            </w:r>
            <w:r w:rsidRPr="00332348">
              <w:rPr>
                <w:rFonts w:ascii="Times New Roman" w:hAnsi="Times New Roman"/>
                <w:bCs/>
                <w:lang w:bidi="en-US"/>
              </w:rPr>
              <w:t xml:space="preserve">costituisce </w:t>
            </w:r>
            <w:r>
              <w:rPr>
                <w:rFonts w:ascii="Times New Roman" w:hAnsi="Times New Roman"/>
                <w:bCs/>
                <w:lang w:bidi="en-US"/>
              </w:rPr>
              <w:t>un’</w:t>
            </w:r>
            <w:r w:rsidRPr="00332348">
              <w:rPr>
                <w:rFonts w:ascii="Times New Roman" w:hAnsi="Times New Roman"/>
                <w:bCs/>
                <w:lang w:bidi="en-US"/>
              </w:rPr>
              <w:t xml:space="preserve">occasione per far emergere e valorizzare le eccellenze esistenti nella scuola italiana, con positiva ricaduta sull’intero sistema educativo. Inoltre, la manifestazione assume particolare rilevanza per i significativi riconoscimenti ricevuti, tra cui l’assegnazione di Borse di Studio da parte della Banca d’Italia per stage all’estero ai migliori classificati. </w:t>
            </w:r>
          </w:p>
        </w:tc>
      </w:tr>
    </w:tbl>
    <w:p w14:paraId="32F026ED" w14:textId="295A740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</w:t>
      </w:r>
      <w:r w:rsidR="00332348">
        <w:rPr>
          <w:rFonts w:ascii="Times New Roman" w:hAnsi="Times New Roman"/>
          <w:b/>
          <w:sz w:val="24"/>
          <w:szCs w:val="24"/>
        </w:rPr>
        <w:t>l</w:t>
      </w:r>
      <w:r w:rsidRPr="00B71FE7">
        <w:rPr>
          <w:rFonts w:ascii="Times New Roman" w:hAnsi="Times New Roman"/>
          <w:b/>
          <w:sz w:val="24"/>
          <w:szCs w:val="24"/>
        </w:rPr>
        <w:t xml:space="preserve"> Docent</w:t>
      </w:r>
      <w:r w:rsidR="00332348">
        <w:rPr>
          <w:rFonts w:ascii="Times New Roman" w:hAnsi="Times New Roman"/>
          <w:b/>
          <w:sz w:val="24"/>
          <w:szCs w:val="24"/>
        </w:rPr>
        <w:t>e</w:t>
      </w:r>
      <w:r w:rsidRPr="00B71FE7">
        <w:rPr>
          <w:rFonts w:ascii="Times New Roman" w:hAnsi="Times New Roman"/>
          <w:b/>
          <w:sz w:val="24"/>
          <w:szCs w:val="24"/>
        </w:rPr>
        <w:t xml:space="preserve"> Referent</w:t>
      </w:r>
      <w:r w:rsidR="00332348">
        <w:rPr>
          <w:rFonts w:ascii="Times New Roman" w:hAnsi="Times New Roman"/>
          <w:b/>
          <w:sz w:val="24"/>
          <w:szCs w:val="24"/>
        </w:rPr>
        <w:t>e</w:t>
      </w:r>
    </w:p>
    <w:p w14:paraId="37F7899C" w14:textId="3BFF4D4E" w:rsidR="00A817A1" w:rsidRPr="00A817A1" w:rsidRDefault="00332348" w:rsidP="00332348">
      <w:pPr>
        <w:pStyle w:val="Paragrafoelenco"/>
        <w:shd w:val="clear" w:color="auto" w:fill="FFFFFF"/>
        <w:spacing w:line="240" w:lineRule="atLeast"/>
        <w:ind w:left="576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</w:t>
      </w:r>
      <w:r w:rsidR="00A817A1" w:rsidRPr="00A817A1">
        <w:rPr>
          <w:rFonts w:ascii="Times New Roman" w:hAnsi="Times New Roman"/>
          <w:bCs/>
          <w:i/>
          <w:iCs/>
          <w:sz w:val="24"/>
          <w:szCs w:val="24"/>
        </w:rPr>
        <w:t xml:space="preserve">Rebecca Pietrella </w:t>
      </w:r>
    </w:p>
    <w:sectPr w:rsidR="00A817A1" w:rsidRPr="00A817A1" w:rsidSect="00332348">
      <w:headerReference w:type="default" r:id="rId12"/>
      <w:footerReference w:type="default" r:id="rId13"/>
      <w:pgSz w:w="11906" w:h="16838"/>
      <w:pgMar w:top="1417" w:right="1134" w:bottom="180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5C55" w14:textId="77777777" w:rsidR="000F511C" w:rsidRDefault="000F511C">
      <w:r>
        <w:separator/>
      </w:r>
    </w:p>
  </w:endnote>
  <w:endnote w:type="continuationSeparator" w:id="0">
    <w:p w14:paraId="66BAE9B1" w14:textId="77777777" w:rsidR="000F511C" w:rsidRDefault="000F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1BDF" w14:textId="77777777" w:rsidR="000F511C" w:rsidRDefault="000F511C">
      <w:r>
        <w:separator/>
      </w:r>
    </w:p>
  </w:footnote>
  <w:footnote w:type="continuationSeparator" w:id="0">
    <w:p w14:paraId="1EB98840" w14:textId="77777777" w:rsidR="000F511C" w:rsidRDefault="000F5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0C61C3"/>
    <w:multiLevelType w:val="hybridMultilevel"/>
    <w:tmpl w:val="7ACEB5E8"/>
    <w:lvl w:ilvl="0" w:tplc="1AA44AB2">
      <w:start w:val="1"/>
      <w:numFmt w:val="bullet"/>
      <w:lvlText w:val="-"/>
      <w:lvlJc w:val="left"/>
      <w:pPr>
        <w:ind w:left="720" w:hanging="360"/>
      </w:pPr>
      <w:rPr>
        <w:rFonts w:ascii="Garamond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5F1F"/>
    <w:multiLevelType w:val="hybridMultilevel"/>
    <w:tmpl w:val="041887A0"/>
    <w:lvl w:ilvl="0" w:tplc="1AA44AB2">
      <w:start w:val="1"/>
      <w:numFmt w:val="bullet"/>
      <w:lvlText w:val="-"/>
      <w:lvlJc w:val="left"/>
      <w:pPr>
        <w:ind w:left="360" w:hanging="360"/>
      </w:pPr>
      <w:rPr>
        <w:rFonts w:ascii="Garamond" w:hAnsi="Garamond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B6CA9"/>
    <w:multiLevelType w:val="hybridMultilevel"/>
    <w:tmpl w:val="2A1E2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56011"/>
    <w:multiLevelType w:val="hybridMultilevel"/>
    <w:tmpl w:val="5DB6A30A"/>
    <w:lvl w:ilvl="0" w:tplc="D78A6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30"/>
  </w:num>
  <w:num w:numId="2" w16cid:durableId="843398490">
    <w:abstractNumId w:val="4"/>
  </w:num>
  <w:num w:numId="3" w16cid:durableId="1511020446">
    <w:abstractNumId w:val="17"/>
  </w:num>
  <w:num w:numId="4" w16cid:durableId="2112815248">
    <w:abstractNumId w:val="38"/>
  </w:num>
  <w:num w:numId="5" w16cid:durableId="1720010405">
    <w:abstractNumId w:val="33"/>
  </w:num>
  <w:num w:numId="6" w16cid:durableId="1586064741">
    <w:abstractNumId w:val="18"/>
  </w:num>
  <w:num w:numId="7" w16cid:durableId="150216026">
    <w:abstractNumId w:val="2"/>
  </w:num>
  <w:num w:numId="8" w16cid:durableId="1635868884">
    <w:abstractNumId w:val="16"/>
  </w:num>
  <w:num w:numId="9" w16cid:durableId="1796672947">
    <w:abstractNumId w:val="26"/>
  </w:num>
  <w:num w:numId="10" w16cid:durableId="1452288596">
    <w:abstractNumId w:val="35"/>
  </w:num>
  <w:num w:numId="11" w16cid:durableId="1142962541">
    <w:abstractNumId w:val="31"/>
  </w:num>
  <w:num w:numId="12" w16cid:durableId="1992976981">
    <w:abstractNumId w:val="24"/>
  </w:num>
  <w:num w:numId="13" w16cid:durableId="23135513">
    <w:abstractNumId w:val="15"/>
  </w:num>
  <w:num w:numId="14" w16cid:durableId="854997025">
    <w:abstractNumId w:val="23"/>
  </w:num>
  <w:num w:numId="15" w16cid:durableId="306133143">
    <w:abstractNumId w:val="22"/>
  </w:num>
  <w:num w:numId="16" w16cid:durableId="203103043">
    <w:abstractNumId w:val="5"/>
  </w:num>
  <w:num w:numId="17" w16cid:durableId="973946776">
    <w:abstractNumId w:val="28"/>
  </w:num>
  <w:num w:numId="18" w16cid:durableId="1707949877">
    <w:abstractNumId w:val="27"/>
  </w:num>
  <w:num w:numId="19" w16cid:durableId="1417704971">
    <w:abstractNumId w:val="8"/>
  </w:num>
  <w:num w:numId="20" w16cid:durableId="290021693">
    <w:abstractNumId w:val="32"/>
  </w:num>
  <w:num w:numId="21" w16cid:durableId="678971922">
    <w:abstractNumId w:val="37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2"/>
  </w:num>
  <w:num w:numId="25" w16cid:durableId="1675184298">
    <w:abstractNumId w:val="29"/>
  </w:num>
  <w:num w:numId="26" w16cid:durableId="69012372">
    <w:abstractNumId w:val="11"/>
  </w:num>
  <w:num w:numId="27" w16cid:durableId="1046180689">
    <w:abstractNumId w:val="36"/>
  </w:num>
  <w:num w:numId="28" w16cid:durableId="1058479891">
    <w:abstractNumId w:val="19"/>
  </w:num>
  <w:num w:numId="29" w16cid:durableId="1657303161">
    <w:abstractNumId w:val="21"/>
  </w:num>
  <w:num w:numId="30" w16cid:durableId="17966041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53104475">
    <w:abstractNumId w:val="25"/>
  </w:num>
  <w:num w:numId="36" w16cid:durableId="1027826316">
    <w:abstractNumId w:val="14"/>
  </w:num>
  <w:num w:numId="37" w16cid:durableId="1442916312">
    <w:abstractNumId w:val="20"/>
  </w:num>
  <w:num w:numId="38" w16cid:durableId="1686712556">
    <w:abstractNumId w:val="13"/>
  </w:num>
  <w:num w:numId="39" w16cid:durableId="68212585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3D8A"/>
    <w:rsid w:val="000777D1"/>
    <w:rsid w:val="0008029C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0F511C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32348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B5BC9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5BD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A697A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5102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17A1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4428"/>
    <w:rsid w:val="00C15399"/>
    <w:rsid w:val="00C16693"/>
    <w:rsid w:val="00C24718"/>
    <w:rsid w:val="00C27DC3"/>
    <w:rsid w:val="00C34069"/>
    <w:rsid w:val="00C36562"/>
    <w:rsid w:val="00C3690A"/>
    <w:rsid w:val="00C37960"/>
    <w:rsid w:val="00C41247"/>
    <w:rsid w:val="00C43902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260A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2236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2E40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112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64C27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2025-12-11T16:35:00Z</dcterms:created>
  <dcterms:modified xsi:type="dcterms:W3CDTF">2025-12-11T16:35:00Z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